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1407B6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17402762" r:id="rId8"/>
        </w:object>
      </w:r>
    </w:p>
    <w:p w14:paraId="5C86F886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27E3EC3C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5502E7">
        <w:rPr>
          <w:rFonts w:ascii="Book Antiqua" w:hAnsi="Book Antiqua"/>
          <w:b/>
          <w:smallCaps/>
        </w:rPr>
        <w:t xml:space="preserve">  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F00D42">
        <w:rPr>
          <w:rFonts w:ascii="Book Antiqua" w:hAnsi="Book Antiqua"/>
        </w:rPr>
        <w:t xml:space="preserve">22 czerwca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2CB28B88" w14:textId="77777777"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589FB839" w14:textId="5DB97D45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F00D42">
        <w:rPr>
          <w:rFonts w:ascii="Book Antiqua" w:hAnsi="Book Antiqua"/>
          <w:b/>
          <w:color w:val="000000"/>
        </w:rPr>
        <w:t>24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14BB5E0F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731413D4" w14:textId="77777777" w:rsidR="005502E7" w:rsidRPr="00662D85" w:rsidRDefault="005502E7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54BE0088" w14:textId="667F07F9" w:rsidR="00835AA0" w:rsidRPr="00EC4E6C" w:rsidRDefault="00815A19" w:rsidP="00F00D42">
      <w:pPr>
        <w:spacing w:after="120" w:line="240" w:lineRule="auto"/>
        <w:ind w:left="142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</w:t>
      </w:r>
      <w:r w:rsidR="00444E90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End w:id="1"/>
      <w:r w:rsidR="00B42E61" w:rsidRPr="00CC3E1B">
        <w:rPr>
          <w:rFonts w:ascii="Book Antiqua" w:hAnsi="Book Antiqua"/>
          <w:b/>
        </w:rPr>
        <w:t>„</w:t>
      </w:r>
      <w:bookmarkStart w:id="2" w:name="_Hlk101335123"/>
      <w:bookmarkStart w:id="3" w:name="_Hlk101869450"/>
      <w:bookmarkStart w:id="4" w:name="_Hlk99964459"/>
      <w:bookmarkStart w:id="5" w:name="_Hlk94534054"/>
      <w:bookmarkStart w:id="6" w:name="_Hlk96066855"/>
      <w:r w:rsidR="00F00D42">
        <w:rPr>
          <w:rFonts w:ascii="Book Antiqua" w:hAnsi="Book Antiqua"/>
          <w:b/>
        </w:rPr>
        <w:t>Odbiór oraz utylizację zużytego urządzenia RTG znajdującego się w budynku Sądu Okręgowego w Siedlcach przy ul. Kazimierzowskiej 31”</w:t>
      </w:r>
      <w:bookmarkEnd w:id="2"/>
      <w:bookmarkEnd w:id="3"/>
      <w:bookmarkEnd w:id="4"/>
      <w:bookmarkEnd w:id="5"/>
      <w:bookmarkEnd w:id="6"/>
      <w:r w:rsidR="004520B0">
        <w:rPr>
          <w:rFonts w:ascii="Book Antiqua" w:hAnsi="Book Antiqua"/>
          <w:b/>
        </w:rPr>
        <w:t>,</w:t>
      </w:r>
      <w:r w:rsidR="003C411C">
        <w:rPr>
          <w:rFonts w:ascii="Book Antiqua" w:hAnsi="Book Antiqua"/>
          <w:b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182740CB" w14:textId="77777777" w:rsidR="000B3914" w:rsidRPr="003C411C" w:rsidRDefault="000B3914" w:rsidP="004520B0">
      <w:pPr>
        <w:spacing w:after="120" w:line="240" w:lineRule="auto"/>
        <w:jc w:val="both"/>
        <w:rPr>
          <w:rFonts w:ascii="Book Antiqua" w:hAnsi="Book Antiqua"/>
          <w:b/>
        </w:rPr>
      </w:pPr>
    </w:p>
    <w:p w14:paraId="34ED67FD" w14:textId="69B9F32D" w:rsidR="00B42E61" w:rsidRPr="003C411C" w:rsidRDefault="00835AA0" w:rsidP="003C411C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F00D42">
        <w:rPr>
          <w:rFonts w:ascii="Book Antiqua" w:hAnsi="Book Antiqua"/>
        </w:rPr>
        <w:t>1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12BB3040" w14:textId="77777777" w:rsidR="003C411C" w:rsidRDefault="003C411C" w:rsidP="003C411C">
      <w:pPr>
        <w:spacing w:after="0" w:line="240" w:lineRule="auto"/>
        <w:ind w:left="142"/>
        <w:rPr>
          <w:rFonts w:ascii="Book Antiqua" w:hAnsi="Book Antiqua"/>
          <w:b/>
          <w:szCs w:val="20"/>
        </w:rPr>
      </w:pPr>
    </w:p>
    <w:p w14:paraId="6CA520AF" w14:textId="77777777" w:rsidR="00F00D42" w:rsidRPr="00F00D42" w:rsidRDefault="00F00D42" w:rsidP="00F00D42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F00D42">
        <w:rPr>
          <w:rFonts w:ascii="Book Antiqua" w:hAnsi="Book Antiqua"/>
          <w:b/>
          <w:szCs w:val="20"/>
        </w:rPr>
        <w:t xml:space="preserve">Green Office </w:t>
      </w:r>
      <w:proofErr w:type="spellStart"/>
      <w:r w:rsidRPr="00F00D42">
        <w:rPr>
          <w:rFonts w:ascii="Book Antiqua" w:hAnsi="Book Antiqua"/>
          <w:b/>
          <w:szCs w:val="20"/>
        </w:rPr>
        <w:t>Ecologic</w:t>
      </w:r>
      <w:proofErr w:type="spellEnd"/>
      <w:r w:rsidRPr="00F00D42">
        <w:rPr>
          <w:rFonts w:ascii="Book Antiqua" w:hAnsi="Book Antiqua"/>
          <w:b/>
          <w:szCs w:val="20"/>
        </w:rPr>
        <w:t xml:space="preserve"> Sp. z o. o  </w:t>
      </w:r>
    </w:p>
    <w:p w14:paraId="5E2FC5B5" w14:textId="77777777" w:rsidR="00F00D42" w:rsidRPr="00F00D42" w:rsidRDefault="00F00D42" w:rsidP="00F00D42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F00D42">
        <w:rPr>
          <w:rFonts w:ascii="Book Antiqua" w:hAnsi="Book Antiqua"/>
          <w:b/>
          <w:szCs w:val="20"/>
        </w:rPr>
        <w:t>ul. Trębacka 4, 00-74 Warszawa</w:t>
      </w:r>
    </w:p>
    <w:p w14:paraId="297750FC" w14:textId="77777777" w:rsidR="00F00D42" w:rsidRPr="00F00D42" w:rsidRDefault="00F00D42" w:rsidP="00F00D42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F00D42">
        <w:rPr>
          <w:rFonts w:ascii="Book Antiqua" w:hAnsi="Book Antiqua"/>
          <w:b/>
          <w:szCs w:val="20"/>
        </w:rPr>
        <w:t>Oddział w Łomazach</w:t>
      </w:r>
    </w:p>
    <w:p w14:paraId="39B98D70" w14:textId="0D238985" w:rsidR="00AA36ED" w:rsidRPr="00F00D42" w:rsidRDefault="00F00D42" w:rsidP="00F00D42">
      <w:pPr>
        <w:spacing w:after="0" w:line="240" w:lineRule="auto"/>
        <w:ind w:left="284"/>
        <w:jc w:val="both"/>
        <w:rPr>
          <w:rFonts w:ascii="Book Antiqua" w:hAnsi="Book Antiqua"/>
          <w:b/>
          <w:sz w:val="24"/>
          <w:szCs w:val="20"/>
        </w:rPr>
      </w:pPr>
      <w:r w:rsidRPr="00F00D42">
        <w:rPr>
          <w:rFonts w:ascii="Book Antiqua" w:hAnsi="Book Antiqua"/>
          <w:b/>
          <w:szCs w:val="20"/>
        </w:rPr>
        <w:t>ul. Spółdzielcza 6 C, 21-532 Łomazy</w:t>
      </w:r>
    </w:p>
    <w:p w14:paraId="7484AAF3" w14:textId="77777777" w:rsidR="00F00D42" w:rsidRDefault="00F00D42" w:rsidP="00CA3363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</w:p>
    <w:p w14:paraId="597876E2" w14:textId="3AEF628E" w:rsidR="00A427FE" w:rsidRDefault="00F00D42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Cena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>1,00</w:t>
      </w:r>
      <w:r w:rsidR="008A39A3">
        <w:rPr>
          <w:rFonts w:ascii="Book Antiqua" w:hAnsi="Book Antiqua"/>
          <w:b/>
          <w:u w:val="single"/>
        </w:rPr>
        <w:t xml:space="preserve"> </w:t>
      </w:r>
      <w:r w:rsidR="000B3914">
        <w:rPr>
          <w:rFonts w:ascii="Book Antiqua" w:hAnsi="Book Antiqua"/>
          <w:b/>
          <w:u w:val="single"/>
        </w:rPr>
        <w:t xml:space="preserve">zł 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30EE9472" w14:textId="0A3AD245" w:rsidR="00FC590A" w:rsidRDefault="003C411C" w:rsidP="00FC590A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</w:t>
      </w:r>
      <w:r w:rsidR="00FC590A" w:rsidRPr="00E47D85">
        <w:rPr>
          <w:rFonts w:ascii="Book Antiqua" w:hAnsi="Book Antiqua"/>
        </w:rPr>
        <w:t xml:space="preserve">Wykonawca </w:t>
      </w:r>
      <w:r w:rsidR="00F00D42">
        <w:rPr>
          <w:rFonts w:ascii="Book Antiqua" w:hAnsi="Book Antiqua"/>
        </w:rPr>
        <w:t xml:space="preserve">spełnia warunki udziału w postępowaniu oraz </w:t>
      </w:r>
      <w:r w:rsidR="00FC590A" w:rsidRPr="00E47D85">
        <w:rPr>
          <w:rFonts w:ascii="Book Antiqua" w:hAnsi="Book Antiqua"/>
        </w:rPr>
        <w:t>złożył ofertę z najniższą ceną ofertową brutto</w:t>
      </w:r>
      <w:r w:rsidR="00FC590A">
        <w:rPr>
          <w:rFonts w:ascii="Book Antiqua" w:hAnsi="Book Antiqua"/>
        </w:rPr>
        <w:t xml:space="preserve"> spośród wszystkich ofert niepodlegających odrzuceniu. </w:t>
      </w:r>
      <w:r w:rsidR="00FC590A" w:rsidRPr="00E47D85">
        <w:rPr>
          <w:rFonts w:ascii="Book Antiqua" w:hAnsi="Book Antiqua"/>
        </w:rPr>
        <w:t xml:space="preserve"> </w:t>
      </w:r>
    </w:p>
    <w:p w14:paraId="52DD7B8B" w14:textId="77777777" w:rsidR="008A39A3" w:rsidRPr="00FC590A" w:rsidRDefault="008A39A3" w:rsidP="00FC590A">
      <w:pPr>
        <w:spacing w:after="120" w:line="240" w:lineRule="auto"/>
        <w:ind w:left="284"/>
        <w:jc w:val="both"/>
        <w:rPr>
          <w:rFonts w:ascii="Book Antiqua" w:hAnsi="Book Antiqua"/>
          <w:b/>
        </w:rPr>
      </w:pPr>
    </w:p>
    <w:p w14:paraId="26F33577" w14:textId="33ABAD16" w:rsidR="00003E69" w:rsidRPr="00003E69" w:rsidRDefault="00FC590A" w:rsidP="00003E69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 postępowaniu odrzucono oferty następujących Wykonawców:</w:t>
      </w:r>
    </w:p>
    <w:p w14:paraId="7E081FB6" w14:textId="77777777" w:rsidR="00ED3E5D" w:rsidRDefault="00ED3E5D" w:rsidP="00ED3E5D">
      <w:pPr>
        <w:pStyle w:val="Akapitzlist"/>
        <w:spacing w:after="0" w:line="240" w:lineRule="auto"/>
        <w:ind w:left="644"/>
        <w:jc w:val="both"/>
        <w:rPr>
          <w:rFonts w:ascii="Book Antiqua" w:hAnsi="Book Antiqua"/>
          <w:b/>
        </w:rPr>
      </w:pPr>
    </w:p>
    <w:p w14:paraId="068985A3" w14:textId="77777777" w:rsidR="00F00D42" w:rsidRPr="00F00D42" w:rsidRDefault="00F00D42" w:rsidP="00F00D42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F00D42">
        <w:rPr>
          <w:rFonts w:ascii="Book Antiqua" w:hAnsi="Book Antiqua"/>
          <w:b/>
          <w:szCs w:val="20"/>
        </w:rPr>
        <w:t xml:space="preserve">Dora Plus Dorota Niedzielska    </w:t>
      </w:r>
    </w:p>
    <w:p w14:paraId="1B67CD22" w14:textId="77777777" w:rsidR="00F00D42" w:rsidRPr="00F00D42" w:rsidRDefault="00F00D42" w:rsidP="00F00D42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F00D42">
        <w:rPr>
          <w:rFonts w:ascii="Book Antiqua" w:hAnsi="Book Antiqua"/>
          <w:b/>
          <w:szCs w:val="20"/>
        </w:rPr>
        <w:t>ul. Wersalska 54</w:t>
      </w:r>
    </w:p>
    <w:p w14:paraId="04E0DD4E" w14:textId="33B55953" w:rsidR="00ED3E5D" w:rsidRPr="00F00D42" w:rsidRDefault="00F00D42" w:rsidP="00F00D42">
      <w:pPr>
        <w:spacing w:after="0" w:line="240" w:lineRule="auto"/>
        <w:ind w:left="284"/>
        <w:jc w:val="both"/>
        <w:rPr>
          <w:rFonts w:ascii="Book Antiqua" w:hAnsi="Book Antiqua"/>
          <w:b/>
          <w:sz w:val="24"/>
        </w:rPr>
      </w:pPr>
      <w:r w:rsidRPr="00F00D42">
        <w:rPr>
          <w:rFonts w:ascii="Book Antiqua" w:hAnsi="Book Antiqua"/>
          <w:b/>
          <w:szCs w:val="20"/>
        </w:rPr>
        <w:t>91-212 Łódź</w:t>
      </w:r>
    </w:p>
    <w:p w14:paraId="44C5CE19" w14:textId="635A7962" w:rsidR="00FC590A" w:rsidRPr="00AA36ED" w:rsidRDefault="00FC590A" w:rsidP="007A0559">
      <w:pPr>
        <w:spacing w:after="0" w:line="240" w:lineRule="auto"/>
        <w:rPr>
          <w:rFonts w:ascii="Book Antiqua" w:hAnsi="Book Antiqua"/>
          <w:b/>
        </w:rPr>
      </w:pPr>
    </w:p>
    <w:p w14:paraId="49F0529A" w14:textId="76420819" w:rsidR="003F219D" w:rsidRPr="003F219D" w:rsidRDefault="003F219D" w:rsidP="007A0559">
      <w:pPr>
        <w:spacing w:after="0" w:line="240" w:lineRule="auto"/>
        <w:jc w:val="both"/>
        <w:rPr>
          <w:rFonts w:ascii="Book Antiqua" w:hAnsi="Book Antiqua"/>
        </w:rPr>
      </w:pPr>
      <w:r w:rsidRPr="003F219D">
        <w:rPr>
          <w:rFonts w:ascii="Book Antiqua" w:hAnsi="Book Antiqua"/>
        </w:rPr>
        <w:t xml:space="preserve">Zgodnie z Rozdziałem </w:t>
      </w:r>
      <w:r>
        <w:rPr>
          <w:rFonts w:ascii="Book Antiqua" w:hAnsi="Book Antiqua"/>
        </w:rPr>
        <w:t>XI</w:t>
      </w:r>
      <w:r w:rsidR="00F00D42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ust. 1 </w:t>
      </w:r>
      <w:r w:rsidRPr="003F219D">
        <w:rPr>
          <w:rFonts w:ascii="Book Antiqua" w:hAnsi="Book Antiqua"/>
          <w:i/>
        </w:rPr>
        <w:t>Zaproszenia do złożenia oferty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i</w:t>
      </w:r>
      <w:r w:rsidRPr="006E06FE">
        <w:rPr>
          <w:rFonts w:ascii="Book Antiqua" w:hAnsi="Book Antiqua"/>
          <w:bCs/>
        </w:rPr>
        <w:t>nformacja o odrzuceniu ofert</w:t>
      </w:r>
      <w:r w:rsidR="00F00D42">
        <w:rPr>
          <w:rFonts w:ascii="Book Antiqua" w:hAnsi="Book Antiqua"/>
          <w:bCs/>
        </w:rPr>
        <w:t>y</w:t>
      </w:r>
      <w:r w:rsidRPr="006E06FE">
        <w:rPr>
          <w:rFonts w:ascii="Book Antiqua" w:hAnsi="Book Antiqua"/>
          <w:bCs/>
        </w:rPr>
        <w:t xml:space="preserve"> wraz z uzasadnieniem faktycznym i prawnym zostanie przesłana tylko Wykonawcom, którzy złożyli oferty w postępowaniu.  </w:t>
      </w:r>
    </w:p>
    <w:p w14:paraId="4728CADB" w14:textId="70B44D03" w:rsidR="003F219D" w:rsidRDefault="003F219D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4FFB6579" w14:textId="7A70B6AF" w:rsidR="00F00D42" w:rsidRDefault="00F00D42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511D4EB6" w14:textId="6C616EC3" w:rsidR="00F00D42" w:rsidRDefault="00F00D42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70E31617" w14:textId="52D355E2" w:rsidR="00F00D42" w:rsidRDefault="00F00D42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10929DBD" w14:textId="77777777" w:rsidR="00F00D42" w:rsidRPr="00FC590A" w:rsidRDefault="00F00D42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349B2E3B" w14:textId="77777777"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154"/>
        <w:gridCol w:w="3418"/>
      </w:tblGrid>
      <w:tr w:rsidR="00F00D42" w:rsidRPr="00E4452D" w14:paraId="0813C76E" w14:textId="77777777" w:rsidTr="00F00D42">
        <w:tc>
          <w:tcPr>
            <w:tcW w:w="822" w:type="pct"/>
            <w:shd w:val="clear" w:color="auto" w:fill="D9D9D9"/>
          </w:tcPr>
          <w:p w14:paraId="01205ED5" w14:textId="77777777" w:rsidR="00F00D42" w:rsidRPr="00E4452D" w:rsidRDefault="00F00D42" w:rsidP="0012176C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7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292" w:type="pct"/>
            <w:shd w:val="clear" w:color="auto" w:fill="D9D9D9"/>
          </w:tcPr>
          <w:p w14:paraId="51E2B2DF" w14:textId="77777777" w:rsidR="00F00D42" w:rsidRPr="00E4452D" w:rsidRDefault="00F00D42" w:rsidP="0012176C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86" w:type="pct"/>
            <w:shd w:val="clear" w:color="auto" w:fill="D9D9D9"/>
          </w:tcPr>
          <w:p w14:paraId="2CE80E24" w14:textId="77777777" w:rsidR="00F00D42" w:rsidRDefault="00F00D42" w:rsidP="0012176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Cena brutto    </w:t>
            </w:r>
          </w:p>
          <w:p w14:paraId="00F4F646" w14:textId="202B0192" w:rsidR="002E3E70" w:rsidRDefault="002E3E70" w:rsidP="0012176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F00D42" w:rsidRPr="00E4452D" w14:paraId="491F93B9" w14:textId="77777777" w:rsidTr="00F00D42">
        <w:trPr>
          <w:trHeight w:val="837"/>
        </w:trPr>
        <w:tc>
          <w:tcPr>
            <w:tcW w:w="822" w:type="pct"/>
            <w:vAlign w:val="center"/>
          </w:tcPr>
          <w:p w14:paraId="79D68EAA" w14:textId="77777777" w:rsidR="00F00D42" w:rsidRPr="00E4452D" w:rsidRDefault="00F00D42" w:rsidP="0012176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2292" w:type="pct"/>
          </w:tcPr>
          <w:p w14:paraId="372C0971" w14:textId="77777777" w:rsidR="00F00D42" w:rsidRPr="005F20F2" w:rsidRDefault="00F00D42" w:rsidP="0012176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Green Office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Ecologic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Sp. z o. o                                                          </w:t>
            </w:r>
            <w:r w:rsidRPr="00F172BA">
              <w:rPr>
                <w:rFonts w:ascii="Book Antiqua" w:hAnsi="Book Antiqua"/>
                <w:sz w:val="20"/>
                <w:szCs w:val="20"/>
              </w:rPr>
              <w:t>ul. Trębacka 4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172BA">
              <w:rPr>
                <w:rFonts w:ascii="Book Antiqua" w:hAnsi="Book Antiqua"/>
                <w:sz w:val="20"/>
                <w:szCs w:val="20"/>
              </w:rPr>
              <w:t xml:space="preserve">00-74 Warszawa                                                   Oddział w Łomazach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         </w:t>
            </w:r>
            <w:r w:rsidRPr="00F172BA">
              <w:rPr>
                <w:rFonts w:ascii="Book Antiqua" w:hAnsi="Book Antiqua"/>
                <w:sz w:val="20"/>
                <w:szCs w:val="20"/>
              </w:rPr>
              <w:t xml:space="preserve">                                ul. Spółdzielcza 6 C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172BA">
              <w:rPr>
                <w:rFonts w:ascii="Book Antiqua" w:hAnsi="Book Antiqua"/>
                <w:sz w:val="20"/>
                <w:szCs w:val="20"/>
              </w:rPr>
              <w:t>21-532 Łomazy</w:t>
            </w:r>
          </w:p>
        </w:tc>
        <w:tc>
          <w:tcPr>
            <w:tcW w:w="1886" w:type="pct"/>
            <w:vAlign w:val="center"/>
          </w:tcPr>
          <w:p w14:paraId="2F730D4B" w14:textId="77777777" w:rsidR="00F00D42" w:rsidRPr="003A2455" w:rsidRDefault="00F00D42" w:rsidP="0012176C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1,00 zł </w:t>
            </w:r>
          </w:p>
        </w:tc>
      </w:tr>
      <w:tr w:rsidR="00F00D42" w:rsidRPr="00E4452D" w14:paraId="5C5E9405" w14:textId="77777777" w:rsidTr="00F00D42">
        <w:trPr>
          <w:trHeight w:val="888"/>
        </w:trPr>
        <w:tc>
          <w:tcPr>
            <w:tcW w:w="822" w:type="pct"/>
            <w:vAlign w:val="center"/>
          </w:tcPr>
          <w:p w14:paraId="5B72F27A" w14:textId="77777777" w:rsidR="00F00D42" w:rsidRDefault="00F00D42" w:rsidP="0012176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2292" w:type="pct"/>
          </w:tcPr>
          <w:p w14:paraId="63CD288E" w14:textId="77777777" w:rsidR="00F00D42" w:rsidRPr="005F20F2" w:rsidRDefault="00F00D42" w:rsidP="0012176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P.P.H.U ABBA EKOMED                                Sp. z o.o.                                                               </w:t>
            </w:r>
            <w:r w:rsidRPr="00F172BA">
              <w:rPr>
                <w:rFonts w:ascii="Book Antiqua" w:hAnsi="Book Antiqua"/>
                <w:sz w:val="20"/>
                <w:szCs w:val="20"/>
              </w:rPr>
              <w:t>ul. Filomatów Pomorskich 8                                                                       87-100 Toruń</w:t>
            </w:r>
          </w:p>
        </w:tc>
        <w:tc>
          <w:tcPr>
            <w:tcW w:w="1886" w:type="pct"/>
            <w:vAlign w:val="center"/>
          </w:tcPr>
          <w:p w14:paraId="5099C18D" w14:textId="77777777" w:rsidR="00F00D42" w:rsidRPr="003A2455" w:rsidRDefault="00F00D42" w:rsidP="0012176C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5 700,00 zł </w:t>
            </w:r>
          </w:p>
        </w:tc>
      </w:tr>
      <w:tr w:rsidR="00F00D42" w:rsidRPr="00E4452D" w14:paraId="7EA4F80D" w14:textId="77777777" w:rsidTr="00F00D42">
        <w:trPr>
          <w:trHeight w:val="888"/>
        </w:trPr>
        <w:tc>
          <w:tcPr>
            <w:tcW w:w="822" w:type="pct"/>
            <w:vAlign w:val="center"/>
          </w:tcPr>
          <w:p w14:paraId="33616081" w14:textId="77777777" w:rsidR="00F00D42" w:rsidRDefault="00F00D42" w:rsidP="0012176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3.</w:t>
            </w:r>
          </w:p>
        </w:tc>
        <w:tc>
          <w:tcPr>
            <w:tcW w:w="2292" w:type="pct"/>
          </w:tcPr>
          <w:p w14:paraId="39C002CA" w14:textId="77777777" w:rsidR="00F00D42" w:rsidRDefault="00F00D42" w:rsidP="0012176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Dora Plus Dorota Niedzielska                                           </w:t>
            </w:r>
            <w:r w:rsidRPr="00F172BA">
              <w:rPr>
                <w:rFonts w:ascii="Book Antiqua" w:hAnsi="Book Antiqua"/>
                <w:sz w:val="20"/>
                <w:szCs w:val="20"/>
              </w:rPr>
              <w:t>ul. Wersalska 54                                                                91-212 Łódź</w:t>
            </w:r>
          </w:p>
        </w:tc>
        <w:tc>
          <w:tcPr>
            <w:tcW w:w="1886" w:type="pct"/>
            <w:vAlign w:val="center"/>
          </w:tcPr>
          <w:p w14:paraId="1637D5A1" w14:textId="74E8C06D" w:rsidR="00F00D42" w:rsidRDefault="00F00D42" w:rsidP="0012176C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885,60 zł </w:t>
            </w:r>
            <w:r w:rsidR="002E3E70">
              <w:rPr>
                <w:rFonts w:ascii="Book Antiqua" w:eastAsia="Times New Roman" w:hAnsi="Book Antiqua"/>
                <w:sz w:val="20"/>
                <w:szCs w:val="20"/>
              </w:rPr>
              <w:t xml:space="preserve">                                                               – Oferta odrzucona </w:t>
            </w:r>
          </w:p>
        </w:tc>
      </w:tr>
      <w:tr w:rsidR="00F00D42" w:rsidRPr="00E4452D" w14:paraId="294465B3" w14:textId="77777777" w:rsidTr="00F00D42">
        <w:trPr>
          <w:trHeight w:val="888"/>
        </w:trPr>
        <w:tc>
          <w:tcPr>
            <w:tcW w:w="822" w:type="pct"/>
            <w:vAlign w:val="center"/>
          </w:tcPr>
          <w:p w14:paraId="19CD1365" w14:textId="77777777" w:rsidR="00F00D42" w:rsidRDefault="00F00D42" w:rsidP="0012176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4.</w:t>
            </w:r>
          </w:p>
        </w:tc>
        <w:tc>
          <w:tcPr>
            <w:tcW w:w="2292" w:type="pct"/>
          </w:tcPr>
          <w:p w14:paraId="6B6DC927" w14:textId="77777777" w:rsidR="00F00D42" w:rsidRDefault="00F00D42" w:rsidP="0012176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Enviropol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PL Sp. z o.o.                                                         </w:t>
            </w:r>
            <w:r w:rsidRPr="00F172BA">
              <w:rPr>
                <w:rFonts w:ascii="Book Antiqua" w:hAnsi="Book Antiqua"/>
                <w:sz w:val="20"/>
                <w:szCs w:val="20"/>
              </w:rPr>
              <w:t>Mechaników 15                                                                                                    44-109 Gliwice</w:t>
            </w:r>
          </w:p>
        </w:tc>
        <w:tc>
          <w:tcPr>
            <w:tcW w:w="1886" w:type="pct"/>
            <w:vAlign w:val="center"/>
          </w:tcPr>
          <w:p w14:paraId="6DCAD799" w14:textId="77777777" w:rsidR="00F00D42" w:rsidRDefault="00F00D42" w:rsidP="0012176C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5 166,00 zł </w:t>
            </w:r>
          </w:p>
        </w:tc>
      </w:tr>
      <w:bookmarkEnd w:id="7"/>
    </w:tbl>
    <w:p w14:paraId="72EE263E" w14:textId="4D892DC7" w:rsidR="0016728B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22ADFE8A" w14:textId="080AC66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206A4831" w14:textId="2860536C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5502E7" w:rsidSect="005502E7">
      <w:footerReference w:type="default" r:id="rId9"/>
      <w:pgSz w:w="11906" w:h="16838"/>
      <w:pgMar w:top="851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70B94CC1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F00D42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F00D42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F00D42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 xml:space="preserve">45;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</w:t>
    </w:r>
    <w:r w:rsidR="00F00D42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F00D42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F00D42">
      <w:rPr>
        <w:rFonts w:ascii="Book Antiqua" w:hAnsi="Book Antiqua"/>
        <w:i/>
        <w:sz w:val="18"/>
        <w:szCs w:val="18"/>
      </w:rPr>
      <w:t>-96</w:t>
    </w:r>
  </w:p>
  <w:p w14:paraId="3F4B2168" w14:textId="5A5722A5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</w:t>
    </w:r>
    <w:r w:rsidR="00F00D42">
      <w:rPr>
        <w:rFonts w:ascii="Book Antiqua" w:hAnsi="Book Antiqua"/>
        <w:i/>
        <w:sz w:val="18"/>
        <w:szCs w:val="18"/>
      </w:rPr>
      <w:t>boi</w:t>
    </w:r>
    <w:r w:rsidRPr="0059356B">
      <w:rPr>
        <w:rFonts w:ascii="Book Antiqua" w:hAnsi="Book Antiqua"/>
        <w:i/>
        <w:sz w:val="18"/>
        <w:szCs w:val="18"/>
      </w:rPr>
      <w:t>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23F4BBB"/>
    <w:multiLevelType w:val="hybridMultilevel"/>
    <w:tmpl w:val="0558554E"/>
    <w:lvl w:ilvl="0" w:tplc="A80C4D4E">
      <w:start w:val="5"/>
      <w:numFmt w:val="decimalZero"/>
      <w:lvlText w:val="%1-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06C42D4B"/>
    <w:multiLevelType w:val="multilevel"/>
    <w:tmpl w:val="ABD80E2C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b w:val="0"/>
        <w:sz w:val="20"/>
      </w:rPr>
    </w:lvl>
    <w:lvl w:ilvl="1">
      <w:start w:val="830"/>
      <w:numFmt w:val="decimal"/>
      <w:lvlText w:val="%1-%2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1856" w:hanging="72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2784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3712" w:hanging="144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4280" w:hanging="144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5208" w:hanging="180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6136" w:hanging="216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6704" w:hanging="2160"/>
      </w:pPr>
      <w:rPr>
        <w:rFonts w:hint="default"/>
        <w:b w:val="0"/>
        <w:sz w:val="20"/>
      </w:rPr>
    </w:lvl>
  </w:abstractNum>
  <w:abstractNum w:abstractNumId="4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F1B9C"/>
    <w:multiLevelType w:val="multilevel"/>
    <w:tmpl w:val="CEFAC538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3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3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43DE"/>
    <w:multiLevelType w:val="hybridMultilevel"/>
    <w:tmpl w:val="F4EE0028"/>
    <w:lvl w:ilvl="0" w:tplc="4AC020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932DA2"/>
    <w:multiLevelType w:val="multilevel"/>
    <w:tmpl w:val="ADC024C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06"/>
      <w:numFmt w:val="decimal"/>
      <w:lvlText w:val="%1-%2"/>
      <w:lvlJc w:val="left"/>
      <w:pPr>
        <w:ind w:left="1229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2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38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29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21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76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678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232" w:hanging="1800"/>
      </w:pPr>
      <w:rPr>
        <w:rFonts w:hint="default"/>
        <w:b w:val="0"/>
      </w:rPr>
    </w:lvl>
  </w:abstractNum>
  <w:abstractNum w:abstractNumId="20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31C37"/>
    <w:multiLevelType w:val="hybridMultilevel"/>
    <w:tmpl w:val="42B818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2C1F65"/>
    <w:multiLevelType w:val="hybridMultilevel"/>
    <w:tmpl w:val="46C0A49E"/>
    <w:lvl w:ilvl="0" w:tplc="26FE3526">
      <w:start w:val="5"/>
      <w:numFmt w:val="decimalZero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23"/>
  </w:num>
  <w:num w:numId="6">
    <w:abstractNumId w:val="6"/>
  </w:num>
  <w:num w:numId="7">
    <w:abstractNumId w:val="16"/>
  </w:num>
  <w:num w:numId="8">
    <w:abstractNumId w:val="21"/>
  </w:num>
  <w:num w:numId="9">
    <w:abstractNumId w:val="5"/>
  </w:num>
  <w:num w:numId="10">
    <w:abstractNumId w:val="26"/>
  </w:num>
  <w:num w:numId="11">
    <w:abstractNumId w:val="4"/>
  </w:num>
  <w:num w:numId="12">
    <w:abstractNumId w:val="22"/>
  </w:num>
  <w:num w:numId="13">
    <w:abstractNumId w:val="15"/>
  </w:num>
  <w:num w:numId="14">
    <w:abstractNumId w:val="12"/>
  </w:num>
  <w:num w:numId="15">
    <w:abstractNumId w:val="11"/>
  </w:num>
  <w:num w:numId="16">
    <w:abstractNumId w:val="18"/>
  </w:num>
  <w:num w:numId="17">
    <w:abstractNumId w:val="25"/>
  </w:num>
  <w:num w:numId="18">
    <w:abstractNumId w:val="10"/>
  </w:num>
  <w:num w:numId="19">
    <w:abstractNumId w:val="14"/>
  </w:num>
  <w:num w:numId="20">
    <w:abstractNumId w:val="20"/>
  </w:num>
  <w:num w:numId="21">
    <w:abstractNumId w:val="2"/>
  </w:num>
  <w:num w:numId="22">
    <w:abstractNumId w:val="24"/>
  </w:num>
  <w:num w:numId="23">
    <w:abstractNumId w:val="27"/>
  </w:num>
  <w:num w:numId="24">
    <w:abstractNumId w:val="17"/>
  </w:num>
  <w:num w:numId="25">
    <w:abstractNumId w:val="3"/>
  </w:num>
  <w:num w:numId="26">
    <w:abstractNumId w:val="28"/>
  </w:num>
  <w:num w:numId="27">
    <w:abstractNumId w:val="7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3E69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3914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07B6"/>
    <w:rsid w:val="0014389E"/>
    <w:rsid w:val="0016728B"/>
    <w:rsid w:val="001865C2"/>
    <w:rsid w:val="0019126F"/>
    <w:rsid w:val="00194DC4"/>
    <w:rsid w:val="001B053D"/>
    <w:rsid w:val="001B5D24"/>
    <w:rsid w:val="001C0D6E"/>
    <w:rsid w:val="001E23BF"/>
    <w:rsid w:val="001E72A9"/>
    <w:rsid w:val="00211480"/>
    <w:rsid w:val="0021651D"/>
    <w:rsid w:val="00216EEB"/>
    <w:rsid w:val="00226733"/>
    <w:rsid w:val="00226FE3"/>
    <w:rsid w:val="00250944"/>
    <w:rsid w:val="00252DE1"/>
    <w:rsid w:val="00282047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E3E70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C411C"/>
    <w:rsid w:val="003F219D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4E9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02E7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0559"/>
    <w:rsid w:val="007A2670"/>
    <w:rsid w:val="007B0910"/>
    <w:rsid w:val="007C5D03"/>
    <w:rsid w:val="007C5ED4"/>
    <w:rsid w:val="007C62B0"/>
    <w:rsid w:val="007D09A7"/>
    <w:rsid w:val="007F2EAE"/>
    <w:rsid w:val="007F46B1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39A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53413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E7430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A36ED"/>
    <w:rsid w:val="00AB7EEE"/>
    <w:rsid w:val="00AE13EA"/>
    <w:rsid w:val="00AE4787"/>
    <w:rsid w:val="00AE5E76"/>
    <w:rsid w:val="00B0160D"/>
    <w:rsid w:val="00B01629"/>
    <w:rsid w:val="00B07F05"/>
    <w:rsid w:val="00B134CC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3363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2C31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C4E6C"/>
    <w:rsid w:val="00ED2989"/>
    <w:rsid w:val="00ED3E5D"/>
    <w:rsid w:val="00ED77C5"/>
    <w:rsid w:val="00EE71ED"/>
    <w:rsid w:val="00EF6927"/>
    <w:rsid w:val="00F00D42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C590A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0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2022-03-14T10:48:00Z</dcterms:created>
  <dcterms:modified xsi:type="dcterms:W3CDTF">2022-06-22T09:33:00Z</dcterms:modified>
</cp:coreProperties>
</file>