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297EBE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22.15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3029709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13824345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7E37C5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7E37C5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7E37C5">
        <w:rPr>
          <w:rFonts w:ascii="Book Antiqua" w:hAnsi="Book Antiqua"/>
          <w:b/>
          <w:smallCaps/>
        </w:rPr>
        <w:t xml:space="preserve">  </w:t>
      </w:r>
      <w:r w:rsidR="00815A19">
        <w:rPr>
          <w:rFonts w:ascii="Book Antiqua" w:hAnsi="Book Antiqua"/>
          <w:b/>
          <w:smallCaps/>
        </w:rPr>
        <w:t xml:space="preserve"> </w:t>
      </w:r>
      <w:r w:rsidR="0061331C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430EB">
        <w:rPr>
          <w:rFonts w:ascii="Book Antiqua" w:hAnsi="Book Antiqua"/>
        </w:rPr>
        <w:t xml:space="preserve"> 26 sierpnia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7E37C5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4A3E106F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61331C">
        <w:rPr>
          <w:rFonts w:ascii="Book Antiqua" w:hAnsi="Book Antiqua"/>
          <w:b/>
          <w:color w:val="000000"/>
        </w:rPr>
        <w:t>2</w:t>
      </w:r>
      <w:r w:rsidR="007430EB">
        <w:rPr>
          <w:rFonts w:ascii="Book Antiqua" w:hAnsi="Book Antiqua"/>
          <w:b/>
          <w:color w:val="000000"/>
        </w:rPr>
        <w:t>7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DC1B2D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DC1B2D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22E295AB" w14:textId="769F8251" w:rsidR="00E86164" w:rsidRPr="007A2670" w:rsidRDefault="00815A19" w:rsidP="007430EB">
      <w:pPr>
        <w:spacing w:after="120" w:line="240" w:lineRule="auto"/>
        <w:ind w:firstLine="56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</w:t>
      </w:r>
      <w:r w:rsidR="007430E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7430EB">
        <w:rPr>
          <w:rFonts w:ascii="Book Antiqua" w:hAnsi="Book Antiqua"/>
        </w:rPr>
        <w:t xml:space="preserve">1710 </w:t>
      </w:r>
      <w:proofErr w:type="spellStart"/>
      <w:r w:rsidR="007430EB">
        <w:rPr>
          <w:rFonts w:ascii="Book Antiqua" w:hAnsi="Book Antiqua"/>
        </w:rPr>
        <w:t>t.j</w:t>
      </w:r>
      <w:proofErr w:type="spellEnd"/>
      <w:r w:rsidR="007430E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4" w:name="_Hlk110856574"/>
      <w:bookmarkEnd w:id="0"/>
      <w:bookmarkEnd w:id="1"/>
      <w:bookmarkEnd w:id="2"/>
      <w:r w:rsidR="007430EB" w:rsidRPr="00ED29A9">
        <w:rPr>
          <w:rFonts w:ascii="Book Antiqua" w:hAnsi="Book Antiqua"/>
          <w:b/>
        </w:rPr>
        <w:t xml:space="preserve">Usługi </w:t>
      </w:r>
      <w:bookmarkStart w:id="5" w:name="_Hlk109373381"/>
      <w:r w:rsidR="007430EB" w:rsidRPr="00ED29A9">
        <w:rPr>
          <w:rFonts w:ascii="Book Antiqua" w:hAnsi="Book Antiqua"/>
          <w:b/>
        </w:rPr>
        <w:t xml:space="preserve">odczytu dawek indywidualnych od promieniowania jonizującego przy użyciu dawkomierzy termoluminescencyjnych oraz przesyłanie kwartalnych raportów z wynikami odczytów </w:t>
      </w:r>
      <w:bookmarkEnd w:id="5"/>
      <w:r w:rsidR="007430EB" w:rsidRPr="00ED29A9">
        <w:rPr>
          <w:rFonts w:ascii="Book Antiqua" w:hAnsi="Book Antiqua"/>
          <w:b/>
        </w:rPr>
        <w:t xml:space="preserve">dla Sądu Okręgowego </w:t>
      </w:r>
      <w:r w:rsidR="007430EB">
        <w:rPr>
          <w:rFonts w:ascii="Book Antiqua" w:hAnsi="Book Antiqua"/>
          <w:b/>
        </w:rPr>
        <w:br/>
      </w:r>
      <w:r w:rsidR="007430EB" w:rsidRPr="00ED29A9">
        <w:rPr>
          <w:rFonts w:ascii="Book Antiqua" w:hAnsi="Book Antiqua"/>
          <w:b/>
        </w:rPr>
        <w:t>w Siedlcach i Sądu Rejonowego w Sokołowie Podlaskim</w:t>
      </w:r>
      <w:bookmarkEnd w:id="4"/>
      <w:r w:rsidR="00DB7B5B">
        <w:rPr>
          <w:rFonts w:ascii="Book Antiqua" w:hAnsi="Book Antiqua"/>
          <w:b/>
        </w:rPr>
        <w:t>”</w:t>
      </w:r>
      <w:bookmarkEnd w:id="3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27F9249D" w14:textId="77777777" w:rsidR="00FD6877" w:rsidRDefault="007430E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7430EB">
        <w:rPr>
          <w:rFonts w:ascii="Book Antiqua" w:hAnsi="Book Antiqua"/>
          <w:b/>
          <w:szCs w:val="20"/>
        </w:rPr>
        <w:t xml:space="preserve">Centralne Laboratorium </w:t>
      </w:r>
    </w:p>
    <w:p w14:paraId="11033523" w14:textId="501A9CAB" w:rsidR="007430EB" w:rsidRPr="007430EB" w:rsidRDefault="007430E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7430EB">
        <w:rPr>
          <w:rFonts w:ascii="Book Antiqua" w:hAnsi="Book Antiqua"/>
          <w:b/>
          <w:szCs w:val="20"/>
        </w:rPr>
        <w:t>Ochrony Radiologicznej</w:t>
      </w:r>
    </w:p>
    <w:p w14:paraId="7DB345AF" w14:textId="77777777" w:rsidR="007430EB" w:rsidRPr="007430EB" w:rsidRDefault="007430E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7430EB">
        <w:rPr>
          <w:rFonts w:ascii="Book Antiqua" w:hAnsi="Book Antiqua"/>
          <w:b/>
          <w:szCs w:val="20"/>
        </w:rPr>
        <w:t>ul. Konwaliowa 7</w:t>
      </w:r>
    </w:p>
    <w:p w14:paraId="28F3CCAE" w14:textId="5B8B62DF" w:rsidR="007430EB" w:rsidRPr="00FD6877" w:rsidRDefault="007430E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0"/>
        </w:rPr>
      </w:pPr>
      <w:r w:rsidRPr="007430EB">
        <w:rPr>
          <w:rFonts w:ascii="Book Antiqua" w:hAnsi="Book Antiqua"/>
          <w:b/>
          <w:szCs w:val="20"/>
        </w:rPr>
        <w:t>03-194 Warszawa</w:t>
      </w:r>
    </w:p>
    <w:p w14:paraId="14FE30B6" w14:textId="77777777" w:rsidR="007430EB" w:rsidRPr="002F2EE1" w:rsidRDefault="007430E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73198F62" w:rsidR="00306C01" w:rsidRDefault="007430EB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Łączna 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FD6877">
        <w:rPr>
          <w:rFonts w:ascii="Book Antiqua" w:hAnsi="Book Antiqua"/>
          <w:b/>
          <w:u w:val="single"/>
        </w:rPr>
        <w:t xml:space="preserve">3 070,08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FD6877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0A2E2A17" w14:textId="6CA42F0D" w:rsidR="00FD6877" w:rsidRPr="00706A77" w:rsidRDefault="00FD6877" w:rsidP="00DC1B2D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6958D0">
        <w:rPr>
          <w:rFonts w:ascii="Book Antiqua" w:hAnsi="Book Antiqua"/>
        </w:rPr>
        <w:t xml:space="preserve">Wykonawca </w:t>
      </w:r>
      <w:bookmarkStart w:id="6" w:name="_GoBack"/>
      <w:bookmarkEnd w:id="6"/>
      <w:r w:rsidRPr="00E47D85">
        <w:rPr>
          <w:rFonts w:ascii="Book Antiqua" w:hAnsi="Book Antiqua"/>
        </w:rPr>
        <w:t>złożył ofertę z najniższą ceną ofertową brutto</w:t>
      </w:r>
      <w:r>
        <w:rPr>
          <w:rFonts w:ascii="Book Antiqua" w:hAnsi="Book Antiqua"/>
        </w:rPr>
        <w:t xml:space="preserve"> spośród wszystkich ofert niepodlegających odrzuceniu. </w:t>
      </w:r>
      <w:r w:rsidRPr="00E47D85">
        <w:rPr>
          <w:rFonts w:ascii="Book Antiqua" w:hAnsi="Book Antiqua"/>
        </w:rPr>
        <w:t xml:space="preserve"> </w:t>
      </w:r>
    </w:p>
    <w:p w14:paraId="10F3BBF6" w14:textId="3971BDCE" w:rsidR="00FD6877" w:rsidRPr="00FD6877" w:rsidRDefault="00FD6877" w:rsidP="00194DC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FD6877" w:rsidRPr="00E4452D" w14:paraId="2B71E5A3" w14:textId="77777777" w:rsidTr="00FD6877">
        <w:tc>
          <w:tcPr>
            <w:tcW w:w="662" w:type="pct"/>
            <w:shd w:val="clear" w:color="auto" w:fill="D9D9D9"/>
          </w:tcPr>
          <w:p w14:paraId="56B43B0F" w14:textId="77777777" w:rsidR="00FD6877" w:rsidRPr="00E4452D" w:rsidRDefault="00FD6877" w:rsidP="00D578C3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7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14:paraId="5B4A8298" w14:textId="77777777" w:rsidR="00FD6877" w:rsidRPr="00E4452D" w:rsidRDefault="00FD6877" w:rsidP="00D578C3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14:paraId="5480DA62" w14:textId="77777777" w:rsidR="00FD6877" w:rsidRDefault="00FD6877" w:rsidP="00D578C3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wartość  brutto  </w:t>
            </w:r>
          </w:p>
        </w:tc>
      </w:tr>
      <w:tr w:rsidR="00FD6877" w:rsidRPr="00E4452D" w14:paraId="3C4502B9" w14:textId="77777777" w:rsidTr="00FD6877">
        <w:trPr>
          <w:trHeight w:val="837"/>
        </w:trPr>
        <w:tc>
          <w:tcPr>
            <w:tcW w:w="662" w:type="pct"/>
          </w:tcPr>
          <w:p w14:paraId="4B836911" w14:textId="77777777" w:rsidR="00FD6877" w:rsidRPr="00E4452D" w:rsidRDefault="00FD6877" w:rsidP="00D578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B629CA0" w14:textId="77777777" w:rsidR="00FD6877" w:rsidRPr="00E4452D" w:rsidRDefault="00FD6877" w:rsidP="00D578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374" w:type="pct"/>
          </w:tcPr>
          <w:p w14:paraId="611F6BBB" w14:textId="77777777" w:rsidR="00FD6877" w:rsidRPr="009235A6" w:rsidRDefault="00FD6877" w:rsidP="00D578C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Główny Instytut Górnictwa                                        </w:t>
            </w:r>
            <w:r w:rsidRPr="00FE742F">
              <w:rPr>
                <w:rFonts w:ascii="Book Antiqua" w:hAnsi="Book Antiqua"/>
                <w:sz w:val="20"/>
                <w:szCs w:val="20"/>
              </w:rPr>
              <w:t>Plac Gwarków 1                                                                                     40-166 Katowice</w:t>
            </w:r>
          </w:p>
        </w:tc>
        <w:tc>
          <w:tcPr>
            <w:tcW w:w="1964" w:type="pct"/>
          </w:tcPr>
          <w:p w14:paraId="0D74DB53" w14:textId="77777777" w:rsidR="00FD6877" w:rsidRDefault="00FD6877" w:rsidP="00D578C3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570EB254" w14:textId="77777777" w:rsidR="00FD6877" w:rsidRPr="00FE742F" w:rsidRDefault="00FD6877" w:rsidP="00D578C3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FE742F">
              <w:rPr>
                <w:rFonts w:ascii="Book Antiqua" w:eastAsia="Times New Roman" w:hAnsi="Book Antiqua"/>
                <w:b/>
                <w:sz w:val="20"/>
                <w:szCs w:val="20"/>
              </w:rPr>
              <w:t>5 904,00 zł</w:t>
            </w:r>
          </w:p>
        </w:tc>
      </w:tr>
      <w:tr w:rsidR="00FD6877" w:rsidRPr="00E4452D" w14:paraId="5996F376" w14:textId="77777777" w:rsidTr="00FD6877">
        <w:trPr>
          <w:trHeight w:val="837"/>
        </w:trPr>
        <w:tc>
          <w:tcPr>
            <w:tcW w:w="662" w:type="pct"/>
          </w:tcPr>
          <w:p w14:paraId="3E863FEF" w14:textId="77777777" w:rsidR="00FD6877" w:rsidRDefault="00FD6877" w:rsidP="00D578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3F4F8DAA" w14:textId="77777777" w:rsidR="00FD6877" w:rsidRPr="00E4452D" w:rsidRDefault="00FD6877" w:rsidP="00D578C3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374" w:type="pct"/>
          </w:tcPr>
          <w:p w14:paraId="69FA846D" w14:textId="77777777" w:rsidR="00FD6877" w:rsidRDefault="00FD6877" w:rsidP="00D578C3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Centralne Laboratorium                                           Ochrony Radiologicznej                                                    </w:t>
            </w:r>
            <w:r w:rsidRPr="00FE742F">
              <w:rPr>
                <w:rFonts w:ascii="Book Antiqua" w:hAnsi="Book Antiqua"/>
                <w:sz w:val="20"/>
                <w:szCs w:val="20"/>
              </w:rPr>
              <w:t>ul. Konwaliowa 7                                                                   03-194 Warszawa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pct"/>
          </w:tcPr>
          <w:p w14:paraId="4AB7495A" w14:textId="77777777" w:rsidR="00FD6877" w:rsidRDefault="00FD6877" w:rsidP="00D578C3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7485CFEB" w14:textId="77777777" w:rsidR="00FD6877" w:rsidRPr="00FE742F" w:rsidRDefault="00FD6877" w:rsidP="00D578C3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FE742F">
              <w:rPr>
                <w:rFonts w:ascii="Book Antiqua" w:eastAsia="Times New Roman" w:hAnsi="Book Antiqua"/>
                <w:b/>
                <w:sz w:val="20"/>
                <w:szCs w:val="20"/>
              </w:rPr>
              <w:t>3 070,08 zł</w:t>
            </w:r>
          </w:p>
        </w:tc>
      </w:tr>
      <w:bookmarkEnd w:id="7"/>
    </w:tbl>
    <w:p w14:paraId="1B3DC730" w14:textId="77777777" w:rsidR="00FD6877" w:rsidRDefault="00FD6877" w:rsidP="00194DC4">
      <w:pPr>
        <w:spacing w:after="0" w:line="360" w:lineRule="auto"/>
        <w:jc w:val="both"/>
        <w:rPr>
          <w:rFonts w:ascii="Book Antiqua" w:hAnsi="Book Antiqua"/>
        </w:rPr>
      </w:pPr>
    </w:p>
    <w:p w14:paraId="615CCB42" w14:textId="77777777" w:rsidR="00FD6877" w:rsidRDefault="00FD6877" w:rsidP="00194DC4">
      <w:pPr>
        <w:spacing w:after="0" w:line="360" w:lineRule="auto"/>
        <w:jc w:val="both"/>
        <w:rPr>
          <w:rFonts w:ascii="Book Antiqua" w:hAnsi="Book Antiqua"/>
        </w:rPr>
      </w:pPr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6DF3FC09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45</w:t>
    </w:r>
    <w:r w:rsidR="0061331C">
      <w:rPr>
        <w:rFonts w:ascii="Book Antiqua" w:hAnsi="Book Antiqua"/>
        <w:i/>
        <w:sz w:val="18"/>
        <w:szCs w:val="18"/>
      </w:rPr>
      <w:t>;</w:t>
    </w:r>
    <w:r w:rsidRPr="0059356B">
      <w:rPr>
        <w:rFonts w:ascii="Book Antiqua" w:hAnsi="Book Antiqua"/>
        <w:i/>
        <w:sz w:val="18"/>
        <w:szCs w:val="18"/>
      </w:rPr>
      <w:t xml:space="preserve">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</w:t>
    </w:r>
    <w:r w:rsidR="0061331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61331C">
      <w:rPr>
        <w:rFonts w:ascii="Book Antiqua" w:hAnsi="Book Antiqua"/>
        <w:i/>
        <w:sz w:val="18"/>
        <w:szCs w:val="18"/>
      </w:rPr>
      <w:t xml:space="preserve">- </w:t>
    </w:r>
    <w:r w:rsidRPr="0059356B">
      <w:rPr>
        <w:rFonts w:ascii="Book Antiqua" w:hAnsi="Book Antiqua"/>
        <w:i/>
        <w:sz w:val="18"/>
        <w:szCs w:val="18"/>
      </w:rPr>
      <w:t>78</w:t>
    </w:r>
    <w:r w:rsidR="0061331C">
      <w:rPr>
        <w:rFonts w:ascii="Book Antiqua" w:hAnsi="Book Antiqua"/>
        <w:i/>
        <w:sz w:val="18"/>
        <w:szCs w:val="18"/>
      </w:rPr>
      <w:t>- 96</w:t>
    </w:r>
  </w:p>
  <w:p w14:paraId="3E52D3F2" w14:textId="33BBB96E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61331C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20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9"/>
  </w:num>
  <w:num w:numId="18">
    <w:abstractNumId w:val="6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B7A52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1E3C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97EBE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331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958D0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30EB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E37C5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D30F9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51B24"/>
    <w:rsid w:val="00D67E45"/>
    <w:rsid w:val="00D72E0D"/>
    <w:rsid w:val="00D775F6"/>
    <w:rsid w:val="00D849BD"/>
    <w:rsid w:val="00D91A6E"/>
    <w:rsid w:val="00DA1AE9"/>
    <w:rsid w:val="00DB7B5B"/>
    <w:rsid w:val="00DC1B2D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64F4F"/>
    <w:rsid w:val="00E72B0F"/>
    <w:rsid w:val="00E77BA6"/>
    <w:rsid w:val="00E83298"/>
    <w:rsid w:val="00E86164"/>
    <w:rsid w:val="00E91AA2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877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2022-08-26T12:35:00Z</dcterms:modified>
</cp:coreProperties>
</file>